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CF340" w14:textId="3E067CEB" w:rsidR="00F41233" w:rsidRPr="00937CE0" w:rsidRDefault="00F41233" w:rsidP="00AC3271">
      <w:pPr>
        <w:rPr>
          <w:rFonts w:ascii="Arial" w:hAnsi="Arial" w:cs="Arial"/>
          <w:b/>
          <w:sz w:val="20"/>
          <w:szCs w:val="20"/>
        </w:rPr>
      </w:pPr>
      <w:r w:rsidRPr="00937CE0">
        <w:rPr>
          <w:rFonts w:ascii="Arial" w:hAnsi="Arial" w:cs="Arial"/>
          <w:b/>
          <w:sz w:val="20"/>
          <w:szCs w:val="20"/>
        </w:rPr>
        <w:t>Race, Diversity and Access Working Group: final update on actions</w:t>
      </w:r>
    </w:p>
    <w:p w14:paraId="2CFCCECB" w14:textId="4EB47F8B" w:rsidR="009F6A24" w:rsidRPr="00937CE0" w:rsidRDefault="00303037" w:rsidP="00AC3271">
      <w:pPr>
        <w:rPr>
          <w:rFonts w:ascii="Arial" w:hAnsi="Arial" w:cs="Arial"/>
          <w:sz w:val="20"/>
          <w:szCs w:val="20"/>
        </w:rPr>
      </w:pPr>
      <w:r w:rsidRPr="00937CE0">
        <w:rPr>
          <w:rFonts w:ascii="Arial" w:hAnsi="Arial" w:cs="Arial"/>
          <w:sz w:val="20"/>
          <w:szCs w:val="20"/>
        </w:rPr>
        <w:t>This note provides a</w:t>
      </w:r>
      <w:r w:rsidR="000A3FDD" w:rsidRPr="00937CE0">
        <w:rPr>
          <w:rFonts w:ascii="Arial" w:hAnsi="Arial" w:cs="Arial"/>
          <w:sz w:val="20"/>
          <w:szCs w:val="20"/>
        </w:rPr>
        <w:t xml:space="preserve"> report on progress in the</w:t>
      </w:r>
      <w:r w:rsidR="006E48E9">
        <w:rPr>
          <w:rFonts w:ascii="Arial" w:hAnsi="Arial" w:cs="Arial"/>
          <w:sz w:val="20"/>
          <w:szCs w:val="20"/>
        </w:rPr>
        <w:t xml:space="preserve"> year</w:t>
      </w:r>
      <w:r w:rsidR="000A3FDD" w:rsidRPr="00937CE0">
        <w:rPr>
          <w:rFonts w:ascii="Arial" w:hAnsi="Arial" w:cs="Arial"/>
          <w:sz w:val="20"/>
          <w:szCs w:val="20"/>
        </w:rPr>
        <w:t xml:space="preserve"> since the </w:t>
      </w:r>
      <w:r w:rsidR="0076000F">
        <w:rPr>
          <w:rFonts w:ascii="Arial" w:hAnsi="Arial" w:cs="Arial"/>
          <w:sz w:val="20"/>
          <w:szCs w:val="20"/>
        </w:rPr>
        <w:t>Governing Body</w:t>
      </w:r>
      <w:r w:rsidR="00F41233" w:rsidRPr="00937CE0">
        <w:rPr>
          <w:rFonts w:ascii="Arial" w:hAnsi="Arial" w:cs="Arial"/>
          <w:sz w:val="20"/>
          <w:szCs w:val="20"/>
        </w:rPr>
        <w:t xml:space="preserve"> established the Race, Diversity and Access </w:t>
      </w:r>
      <w:r w:rsidR="00CD121F">
        <w:rPr>
          <w:rFonts w:ascii="Arial" w:hAnsi="Arial" w:cs="Arial"/>
          <w:sz w:val="20"/>
          <w:szCs w:val="20"/>
        </w:rPr>
        <w:t xml:space="preserve">(RDA) </w:t>
      </w:r>
      <w:r w:rsidR="00F41233" w:rsidRPr="00937CE0">
        <w:rPr>
          <w:rFonts w:ascii="Arial" w:hAnsi="Arial" w:cs="Arial"/>
          <w:sz w:val="20"/>
          <w:szCs w:val="20"/>
        </w:rPr>
        <w:t>W</w:t>
      </w:r>
      <w:r w:rsidR="000A3FDD" w:rsidRPr="00937CE0">
        <w:rPr>
          <w:rFonts w:ascii="Arial" w:hAnsi="Arial" w:cs="Arial"/>
          <w:sz w:val="20"/>
          <w:szCs w:val="20"/>
        </w:rPr>
        <w:t>orking Group</w:t>
      </w:r>
      <w:r w:rsidR="006E48E9">
        <w:rPr>
          <w:rFonts w:ascii="Arial" w:hAnsi="Arial" w:cs="Arial"/>
          <w:sz w:val="20"/>
          <w:szCs w:val="20"/>
        </w:rPr>
        <w:t>.</w:t>
      </w:r>
      <w:r w:rsidR="00DE518E" w:rsidRPr="00937CE0">
        <w:rPr>
          <w:rFonts w:ascii="Arial" w:hAnsi="Arial" w:cs="Arial"/>
          <w:sz w:val="20"/>
          <w:szCs w:val="20"/>
        </w:rPr>
        <w:t xml:space="preserve"> T</w:t>
      </w:r>
      <w:r w:rsidRPr="00937CE0">
        <w:rPr>
          <w:rFonts w:ascii="Arial" w:hAnsi="Arial" w:cs="Arial"/>
          <w:sz w:val="20"/>
          <w:szCs w:val="20"/>
        </w:rPr>
        <w:t xml:space="preserve">he restrictions imposed as a result of the pandemic have delayed some actions, but the College </w:t>
      </w:r>
      <w:r w:rsidR="00F41233" w:rsidRPr="00937CE0">
        <w:rPr>
          <w:rFonts w:ascii="Arial" w:hAnsi="Arial" w:cs="Arial"/>
          <w:sz w:val="20"/>
          <w:szCs w:val="20"/>
        </w:rPr>
        <w:t>has invested in significant steps that will ensure it continues to maintain</w:t>
      </w:r>
      <w:r w:rsidRPr="00937CE0">
        <w:rPr>
          <w:rFonts w:ascii="Arial" w:hAnsi="Arial" w:cs="Arial"/>
          <w:sz w:val="20"/>
          <w:szCs w:val="20"/>
        </w:rPr>
        <w:t xml:space="preserve"> momentum</w:t>
      </w:r>
      <w:r w:rsidR="00F41233" w:rsidRPr="00937CE0">
        <w:rPr>
          <w:rFonts w:ascii="Arial" w:hAnsi="Arial" w:cs="Arial"/>
          <w:sz w:val="20"/>
          <w:szCs w:val="20"/>
        </w:rPr>
        <w:t xml:space="preserve"> towards</w:t>
      </w:r>
      <w:r w:rsidR="00DE518E" w:rsidRPr="00937CE0">
        <w:rPr>
          <w:rFonts w:ascii="Arial" w:hAnsi="Arial" w:cs="Arial"/>
          <w:sz w:val="20"/>
          <w:szCs w:val="20"/>
        </w:rPr>
        <w:t xml:space="preserve"> the original objective of the RDA work, of further improving the ways in which the College enables all its members to flourish</w:t>
      </w:r>
      <w:r w:rsidR="00F41233" w:rsidRPr="00937CE0">
        <w:rPr>
          <w:rFonts w:ascii="Arial" w:hAnsi="Arial" w:cs="Arial"/>
          <w:sz w:val="20"/>
          <w:szCs w:val="20"/>
        </w:rPr>
        <w:t>.</w:t>
      </w:r>
    </w:p>
    <w:p w14:paraId="799614D7" w14:textId="5EB85ADB" w:rsidR="00F41233" w:rsidRPr="00937CE0" w:rsidRDefault="006E48E9" w:rsidP="00AC3271">
      <w:pPr>
        <w:rPr>
          <w:rFonts w:ascii="Arial" w:hAnsi="Arial" w:cs="Arial"/>
          <w:sz w:val="20"/>
          <w:szCs w:val="20"/>
        </w:rPr>
      </w:pPr>
      <w:r>
        <w:rPr>
          <w:rFonts w:ascii="Arial" w:hAnsi="Arial" w:cs="Arial"/>
          <w:sz w:val="20"/>
          <w:szCs w:val="20"/>
        </w:rPr>
        <w:t xml:space="preserve">The Working Group </w:t>
      </w:r>
      <w:r w:rsidR="00CD121F">
        <w:rPr>
          <w:rFonts w:ascii="Arial" w:hAnsi="Arial" w:cs="Arial"/>
          <w:sz w:val="20"/>
          <w:szCs w:val="20"/>
        </w:rPr>
        <w:t xml:space="preserve">completed its task when it </w:t>
      </w:r>
      <w:r>
        <w:rPr>
          <w:rFonts w:ascii="Arial" w:hAnsi="Arial" w:cs="Arial"/>
          <w:sz w:val="20"/>
          <w:szCs w:val="20"/>
        </w:rPr>
        <w:t xml:space="preserve">gave its report to the Governing Body in Michaelmas 2020. </w:t>
      </w:r>
      <w:r w:rsidR="00CD121F">
        <w:rPr>
          <w:rFonts w:ascii="Arial" w:hAnsi="Arial" w:cs="Arial"/>
          <w:sz w:val="20"/>
          <w:szCs w:val="20"/>
        </w:rPr>
        <w:t>In taking forward the actions arising from that work, t</w:t>
      </w:r>
      <w:r>
        <w:rPr>
          <w:rFonts w:ascii="Arial" w:hAnsi="Arial" w:cs="Arial"/>
          <w:sz w:val="20"/>
          <w:szCs w:val="20"/>
        </w:rPr>
        <w:t xml:space="preserve">he College’s aim is </w:t>
      </w:r>
      <w:r w:rsidR="0076000F">
        <w:rPr>
          <w:rFonts w:ascii="Arial" w:hAnsi="Arial" w:cs="Arial"/>
          <w:sz w:val="20"/>
          <w:szCs w:val="20"/>
        </w:rPr>
        <w:t>to ensure</w:t>
      </w:r>
      <w:r w:rsidR="0048098E" w:rsidRPr="00937CE0">
        <w:rPr>
          <w:rFonts w:ascii="Arial" w:hAnsi="Arial" w:cs="Arial"/>
          <w:sz w:val="20"/>
          <w:szCs w:val="20"/>
        </w:rPr>
        <w:t xml:space="preserve"> that considerations of race, diversity and access are fully embedded across its activities</w:t>
      </w:r>
      <w:r w:rsidR="00CD121F">
        <w:rPr>
          <w:rFonts w:ascii="Arial" w:hAnsi="Arial" w:cs="Arial"/>
          <w:sz w:val="20"/>
          <w:szCs w:val="20"/>
        </w:rPr>
        <w:t xml:space="preserve"> and its governance. In order to do this most effectively, it is</w:t>
      </w:r>
      <w:r w:rsidR="0076000F">
        <w:rPr>
          <w:rFonts w:ascii="Arial" w:hAnsi="Arial" w:cs="Arial"/>
          <w:sz w:val="20"/>
          <w:szCs w:val="20"/>
        </w:rPr>
        <w:t xml:space="preserve"> </w:t>
      </w:r>
      <w:r w:rsidR="0048098E" w:rsidRPr="00937CE0">
        <w:rPr>
          <w:rFonts w:ascii="Arial" w:hAnsi="Arial" w:cs="Arial"/>
          <w:sz w:val="20"/>
          <w:szCs w:val="20"/>
        </w:rPr>
        <w:t>using the existing arrangements of individual officer responsibilities, and committees</w:t>
      </w:r>
      <w:r w:rsidR="00CD121F">
        <w:rPr>
          <w:rFonts w:ascii="Arial" w:hAnsi="Arial" w:cs="Arial"/>
          <w:sz w:val="20"/>
          <w:szCs w:val="20"/>
        </w:rPr>
        <w:t xml:space="preserve">, covering all aspects of College life and </w:t>
      </w:r>
      <w:r w:rsidR="0048098E" w:rsidRPr="00937CE0">
        <w:rPr>
          <w:rFonts w:ascii="Arial" w:hAnsi="Arial" w:cs="Arial"/>
          <w:sz w:val="20"/>
          <w:szCs w:val="20"/>
        </w:rPr>
        <w:t>reporting to the G</w:t>
      </w:r>
      <w:r w:rsidR="00CD121F">
        <w:rPr>
          <w:rFonts w:ascii="Arial" w:hAnsi="Arial" w:cs="Arial"/>
          <w:sz w:val="20"/>
          <w:szCs w:val="20"/>
        </w:rPr>
        <w:t>overning Body</w:t>
      </w:r>
      <w:r w:rsidR="00335CD4">
        <w:rPr>
          <w:rFonts w:ascii="Arial" w:hAnsi="Arial" w:cs="Arial"/>
          <w:sz w:val="20"/>
          <w:szCs w:val="20"/>
        </w:rPr>
        <w:t>, as opposed to continuing with a separate working group.</w:t>
      </w:r>
      <w:r w:rsidR="00F45199">
        <w:rPr>
          <w:rFonts w:ascii="Arial" w:hAnsi="Arial" w:cs="Arial"/>
          <w:sz w:val="20"/>
          <w:szCs w:val="20"/>
        </w:rPr>
        <w:t xml:space="preserve"> The</w:t>
      </w:r>
      <w:r w:rsidR="00F45199" w:rsidRPr="00F45199">
        <w:rPr>
          <w:rFonts w:ascii="Arial" w:hAnsi="Arial" w:cs="Arial"/>
          <w:sz w:val="20"/>
          <w:szCs w:val="20"/>
        </w:rPr>
        <w:t xml:space="preserve"> Equalities Committee</w:t>
      </w:r>
      <w:r w:rsidR="00F45199">
        <w:rPr>
          <w:rFonts w:ascii="Arial" w:hAnsi="Arial" w:cs="Arial"/>
          <w:sz w:val="20"/>
          <w:szCs w:val="20"/>
        </w:rPr>
        <w:t xml:space="preserve"> will conduct an annual stocktake</w:t>
      </w:r>
      <w:r w:rsidR="005A2953">
        <w:rPr>
          <w:rFonts w:ascii="Arial" w:hAnsi="Arial" w:cs="Arial"/>
          <w:sz w:val="20"/>
          <w:szCs w:val="20"/>
        </w:rPr>
        <w:t xml:space="preserve"> of this work.</w:t>
      </w:r>
      <w:bookmarkStart w:id="0" w:name="_GoBack"/>
      <w:bookmarkEnd w:id="0"/>
    </w:p>
    <w:p w14:paraId="0DAA66CF" w14:textId="77777777" w:rsidR="0048098E" w:rsidRPr="00937CE0" w:rsidRDefault="0048098E" w:rsidP="00AC3271">
      <w:pPr>
        <w:rPr>
          <w:rFonts w:ascii="Arial" w:hAnsi="Arial" w:cs="Arial"/>
          <w:sz w:val="20"/>
          <w:szCs w:val="20"/>
        </w:rPr>
      </w:pPr>
      <w:r w:rsidRPr="00937CE0">
        <w:rPr>
          <w:rFonts w:ascii="Arial" w:hAnsi="Arial" w:cs="Arial"/>
          <w:sz w:val="20"/>
          <w:szCs w:val="20"/>
        </w:rPr>
        <w:t>This note is not an exhaustive account of the relevant actions over the last year</w:t>
      </w:r>
      <w:r w:rsidR="00DE518E" w:rsidRPr="00937CE0">
        <w:rPr>
          <w:rFonts w:ascii="Arial" w:hAnsi="Arial" w:cs="Arial"/>
          <w:sz w:val="20"/>
          <w:szCs w:val="20"/>
        </w:rPr>
        <w:t xml:space="preserve">, </w:t>
      </w:r>
      <w:r w:rsidRPr="00937CE0">
        <w:rPr>
          <w:rFonts w:ascii="Arial" w:hAnsi="Arial" w:cs="Arial"/>
          <w:sz w:val="20"/>
          <w:szCs w:val="20"/>
        </w:rPr>
        <w:t>but summarises the key ones, and those with most potential to shape the future.</w:t>
      </w:r>
    </w:p>
    <w:p w14:paraId="5D36B97C" w14:textId="71324FF5" w:rsidR="0048098E" w:rsidRPr="00937CE0" w:rsidRDefault="00497A88" w:rsidP="00AC3271">
      <w:pPr>
        <w:rPr>
          <w:rFonts w:ascii="Arial" w:hAnsi="Arial" w:cs="Arial"/>
          <w:b/>
          <w:sz w:val="20"/>
          <w:szCs w:val="20"/>
        </w:rPr>
      </w:pPr>
      <w:r w:rsidRPr="00937CE0">
        <w:rPr>
          <w:rFonts w:ascii="Arial" w:hAnsi="Arial" w:cs="Arial"/>
          <w:b/>
          <w:sz w:val="20"/>
          <w:szCs w:val="20"/>
        </w:rPr>
        <w:t xml:space="preserve">Tackling </w:t>
      </w:r>
      <w:r w:rsidR="0076000F">
        <w:rPr>
          <w:rFonts w:ascii="Arial" w:hAnsi="Arial" w:cs="Arial"/>
          <w:b/>
          <w:sz w:val="20"/>
          <w:szCs w:val="20"/>
        </w:rPr>
        <w:t>U</w:t>
      </w:r>
      <w:r w:rsidRPr="00937CE0">
        <w:rPr>
          <w:rFonts w:ascii="Arial" w:hAnsi="Arial" w:cs="Arial"/>
          <w:b/>
          <w:sz w:val="20"/>
          <w:szCs w:val="20"/>
        </w:rPr>
        <w:t>nder-</w:t>
      </w:r>
      <w:r w:rsidR="0076000F">
        <w:rPr>
          <w:rFonts w:ascii="Arial" w:hAnsi="Arial" w:cs="Arial"/>
          <w:b/>
          <w:sz w:val="20"/>
          <w:szCs w:val="20"/>
        </w:rPr>
        <w:t>R</w:t>
      </w:r>
      <w:r w:rsidRPr="00937CE0">
        <w:rPr>
          <w:rFonts w:ascii="Arial" w:hAnsi="Arial" w:cs="Arial"/>
          <w:b/>
          <w:sz w:val="20"/>
          <w:szCs w:val="20"/>
        </w:rPr>
        <w:t>epresentation</w:t>
      </w:r>
    </w:p>
    <w:p w14:paraId="1776C349" w14:textId="33A04F5D" w:rsidR="0048098E" w:rsidRPr="00937CE0" w:rsidRDefault="00497A88" w:rsidP="00AC3271">
      <w:pPr>
        <w:rPr>
          <w:rFonts w:ascii="Arial" w:hAnsi="Arial" w:cs="Arial"/>
          <w:sz w:val="20"/>
          <w:szCs w:val="20"/>
        </w:rPr>
      </w:pPr>
      <w:r w:rsidRPr="00937CE0">
        <w:rPr>
          <w:rFonts w:ascii="Arial" w:hAnsi="Arial" w:cs="Arial"/>
          <w:sz w:val="20"/>
          <w:szCs w:val="20"/>
        </w:rPr>
        <w:t xml:space="preserve">The College has changed the standard wording for advertisements for academic posts and College staff, to make it clearer that it welcomes applications from groups currently under-represented. It checks whether panels are diverse and, </w:t>
      </w:r>
      <w:r w:rsidR="0016440C" w:rsidRPr="00937CE0">
        <w:rPr>
          <w:rFonts w:ascii="Arial" w:hAnsi="Arial" w:cs="Arial"/>
          <w:sz w:val="20"/>
          <w:szCs w:val="20"/>
        </w:rPr>
        <w:t>because</w:t>
      </w:r>
      <w:r w:rsidRPr="00937CE0">
        <w:rPr>
          <w:rFonts w:ascii="Arial" w:hAnsi="Arial" w:cs="Arial"/>
          <w:sz w:val="20"/>
          <w:szCs w:val="20"/>
        </w:rPr>
        <w:t xml:space="preserve"> it is not possible for panels routinely to represent all those currently under-represented in the relevant field, it ensures that panels actively note their duty to consider matters of diversity</w:t>
      </w:r>
      <w:r w:rsidR="00AC3271">
        <w:rPr>
          <w:rFonts w:ascii="Arial" w:hAnsi="Arial" w:cs="Arial"/>
          <w:sz w:val="20"/>
          <w:szCs w:val="20"/>
        </w:rPr>
        <w:t>,</w:t>
      </w:r>
      <w:r w:rsidRPr="00937CE0">
        <w:rPr>
          <w:rFonts w:ascii="Arial" w:hAnsi="Arial" w:cs="Arial"/>
          <w:sz w:val="20"/>
          <w:szCs w:val="20"/>
        </w:rPr>
        <w:t xml:space="preserve"> including race. </w:t>
      </w:r>
    </w:p>
    <w:p w14:paraId="422E76F3" w14:textId="7F1A888D" w:rsidR="0048098E" w:rsidRPr="00937CE0" w:rsidRDefault="0016440C" w:rsidP="00AC3271">
      <w:pPr>
        <w:rPr>
          <w:rFonts w:ascii="Arial" w:hAnsi="Arial" w:cs="Arial"/>
          <w:sz w:val="20"/>
          <w:szCs w:val="20"/>
        </w:rPr>
      </w:pPr>
      <w:r w:rsidRPr="00937CE0">
        <w:rPr>
          <w:rFonts w:ascii="Arial" w:hAnsi="Arial" w:cs="Arial"/>
          <w:sz w:val="20"/>
          <w:szCs w:val="20"/>
        </w:rPr>
        <w:t>Importantly, during 2020/21 the College has invested in new HR systems, that mean it can now collect information about applicants and, on a fully anonymous basis, better understand where the greatest problems are and, over time, assess whether the steps it takes do successfully contribute to better outcomes. This new information therefore complements that available on student applications. For 2021/22, the College has also employed a statistical expert</w:t>
      </w:r>
      <w:r w:rsidR="00AC3271">
        <w:rPr>
          <w:rFonts w:ascii="Arial" w:hAnsi="Arial" w:cs="Arial"/>
          <w:sz w:val="20"/>
          <w:szCs w:val="20"/>
        </w:rPr>
        <w:t xml:space="preserve"> to work over the summer</w:t>
      </w:r>
      <w:r w:rsidRPr="00937CE0">
        <w:rPr>
          <w:rFonts w:ascii="Arial" w:hAnsi="Arial" w:cs="Arial"/>
          <w:sz w:val="20"/>
          <w:szCs w:val="20"/>
        </w:rPr>
        <w:t xml:space="preserve"> to help it understand what information it can get and use</w:t>
      </w:r>
      <w:r w:rsidR="00AC3271">
        <w:rPr>
          <w:rFonts w:ascii="Arial" w:hAnsi="Arial" w:cs="Arial"/>
          <w:sz w:val="20"/>
          <w:szCs w:val="20"/>
        </w:rPr>
        <w:t>,</w:t>
      </w:r>
      <w:r w:rsidRPr="00937CE0">
        <w:rPr>
          <w:rFonts w:ascii="Arial" w:hAnsi="Arial" w:cs="Arial"/>
          <w:sz w:val="20"/>
          <w:szCs w:val="20"/>
        </w:rPr>
        <w:t xml:space="preserve"> in a </w:t>
      </w:r>
      <w:r w:rsidR="00AC3271">
        <w:rPr>
          <w:rFonts w:ascii="Arial" w:hAnsi="Arial" w:cs="Arial"/>
          <w:sz w:val="20"/>
          <w:szCs w:val="20"/>
        </w:rPr>
        <w:t xml:space="preserve">fully </w:t>
      </w:r>
      <w:r w:rsidRPr="00937CE0">
        <w:rPr>
          <w:rFonts w:ascii="Arial" w:hAnsi="Arial" w:cs="Arial"/>
          <w:sz w:val="20"/>
          <w:szCs w:val="20"/>
        </w:rPr>
        <w:t>rigorous fashion. This information will be used by the Personnel, Academic and Equalities Committees as part of their annual review cycles.</w:t>
      </w:r>
    </w:p>
    <w:p w14:paraId="0B96214C" w14:textId="4BDA02C7" w:rsidR="004266C5" w:rsidRPr="00937CE0" w:rsidRDefault="0016440C" w:rsidP="00AC3271">
      <w:pPr>
        <w:rPr>
          <w:rFonts w:ascii="Arial" w:hAnsi="Arial" w:cs="Arial"/>
          <w:sz w:val="20"/>
          <w:szCs w:val="20"/>
        </w:rPr>
      </w:pPr>
      <w:r w:rsidRPr="00937CE0">
        <w:rPr>
          <w:rFonts w:ascii="Arial" w:hAnsi="Arial" w:cs="Arial"/>
          <w:sz w:val="20"/>
          <w:szCs w:val="20"/>
        </w:rPr>
        <w:t>In one area, that of Graduate studentships, the College has bid to join two schemes that are designed to tackle specific areas of under-repres</w:t>
      </w:r>
      <w:r w:rsidR="004266C5" w:rsidRPr="00937CE0">
        <w:rPr>
          <w:rFonts w:ascii="Arial" w:hAnsi="Arial" w:cs="Arial"/>
          <w:sz w:val="20"/>
          <w:szCs w:val="20"/>
        </w:rPr>
        <w:t>e</w:t>
      </w:r>
      <w:r w:rsidRPr="00937CE0">
        <w:rPr>
          <w:rFonts w:ascii="Arial" w:hAnsi="Arial" w:cs="Arial"/>
          <w:sz w:val="20"/>
          <w:szCs w:val="20"/>
        </w:rPr>
        <w:t xml:space="preserve">ntation. </w:t>
      </w:r>
      <w:r w:rsidR="004266C5" w:rsidRPr="00937CE0">
        <w:rPr>
          <w:rFonts w:ascii="Arial" w:hAnsi="Arial" w:cs="Arial"/>
          <w:sz w:val="20"/>
          <w:szCs w:val="20"/>
        </w:rPr>
        <w:t xml:space="preserve">It is waiting to hear about the outcome of its bid for four scholarships on the </w:t>
      </w:r>
      <w:r w:rsidRPr="00937CE0">
        <w:rPr>
          <w:rFonts w:ascii="Arial" w:hAnsi="Arial" w:cs="Arial"/>
          <w:sz w:val="20"/>
          <w:szCs w:val="20"/>
        </w:rPr>
        <w:t xml:space="preserve">University’s Black Academic Futures scheme, </w:t>
      </w:r>
      <w:r w:rsidR="004266C5" w:rsidRPr="00937CE0">
        <w:rPr>
          <w:rFonts w:ascii="Arial" w:hAnsi="Arial" w:cs="Arial"/>
          <w:sz w:val="20"/>
          <w:szCs w:val="20"/>
        </w:rPr>
        <w:t>and has been successful in its bid for a Commonwealth Shared Scholarship</w:t>
      </w:r>
      <w:r w:rsidR="004266C5" w:rsidRPr="00937CE0">
        <w:rPr>
          <w:rStyle w:val="FootnoteReference"/>
          <w:rFonts w:ascii="Arial" w:hAnsi="Arial" w:cs="Arial"/>
          <w:sz w:val="20"/>
          <w:szCs w:val="20"/>
        </w:rPr>
        <w:footnoteReference w:id="1"/>
      </w:r>
      <w:r w:rsidR="004266C5" w:rsidRPr="00937CE0">
        <w:rPr>
          <w:rFonts w:ascii="Arial" w:hAnsi="Arial" w:cs="Arial"/>
          <w:sz w:val="20"/>
          <w:szCs w:val="20"/>
        </w:rPr>
        <w:t xml:space="preserve"> in collaboration with the </w:t>
      </w:r>
      <w:proofErr w:type="spellStart"/>
      <w:r w:rsidR="004266C5" w:rsidRPr="00937CE0">
        <w:rPr>
          <w:rFonts w:ascii="Arial" w:hAnsi="Arial" w:cs="Arial"/>
          <w:sz w:val="20"/>
          <w:szCs w:val="20"/>
        </w:rPr>
        <w:t>Blavatnik</w:t>
      </w:r>
      <w:proofErr w:type="spellEnd"/>
      <w:r w:rsidR="004266C5" w:rsidRPr="00937CE0">
        <w:rPr>
          <w:rFonts w:ascii="Arial" w:hAnsi="Arial" w:cs="Arial"/>
          <w:sz w:val="20"/>
          <w:szCs w:val="20"/>
        </w:rPr>
        <w:t xml:space="preserve"> School</w:t>
      </w:r>
      <w:r w:rsidR="0076000F">
        <w:rPr>
          <w:rFonts w:ascii="Arial" w:hAnsi="Arial" w:cs="Arial"/>
          <w:sz w:val="20"/>
          <w:szCs w:val="20"/>
        </w:rPr>
        <w:t>.</w:t>
      </w:r>
    </w:p>
    <w:p w14:paraId="1340EFA2" w14:textId="6B6BCB24" w:rsidR="0016440C" w:rsidRPr="00937CE0" w:rsidRDefault="0016440C" w:rsidP="00AC3271">
      <w:pPr>
        <w:rPr>
          <w:rFonts w:ascii="Arial" w:hAnsi="Arial" w:cs="Arial"/>
          <w:b/>
          <w:sz w:val="20"/>
          <w:szCs w:val="20"/>
        </w:rPr>
      </w:pPr>
      <w:r w:rsidRPr="00937CE0">
        <w:rPr>
          <w:rFonts w:ascii="Arial" w:hAnsi="Arial" w:cs="Arial"/>
          <w:b/>
          <w:sz w:val="20"/>
          <w:szCs w:val="20"/>
        </w:rPr>
        <w:t>Awareness Raising</w:t>
      </w:r>
      <w:r w:rsidR="00AC3271">
        <w:rPr>
          <w:rFonts w:ascii="Arial" w:hAnsi="Arial" w:cs="Arial"/>
          <w:b/>
          <w:sz w:val="20"/>
          <w:szCs w:val="20"/>
        </w:rPr>
        <w:t>,</w:t>
      </w:r>
      <w:r w:rsidRPr="00937CE0">
        <w:rPr>
          <w:rFonts w:ascii="Arial" w:hAnsi="Arial" w:cs="Arial"/>
          <w:b/>
          <w:sz w:val="20"/>
          <w:szCs w:val="20"/>
        </w:rPr>
        <w:t xml:space="preserve"> and the College’s Intellectual</w:t>
      </w:r>
      <w:r w:rsidR="00845872" w:rsidRPr="00937CE0">
        <w:rPr>
          <w:rFonts w:ascii="Arial" w:hAnsi="Arial" w:cs="Arial"/>
          <w:b/>
          <w:sz w:val="20"/>
          <w:szCs w:val="20"/>
        </w:rPr>
        <w:t xml:space="preserve"> Life</w:t>
      </w:r>
    </w:p>
    <w:p w14:paraId="3D35E3F5" w14:textId="09B5B310" w:rsidR="0016440C" w:rsidRPr="00937CE0" w:rsidRDefault="00845872" w:rsidP="00AC3271">
      <w:pPr>
        <w:rPr>
          <w:rFonts w:ascii="Arial" w:hAnsi="Arial" w:cs="Arial"/>
          <w:sz w:val="20"/>
          <w:szCs w:val="20"/>
        </w:rPr>
      </w:pPr>
      <w:r w:rsidRPr="00937CE0">
        <w:rPr>
          <w:rFonts w:ascii="Arial" w:hAnsi="Arial" w:cs="Arial"/>
          <w:sz w:val="20"/>
          <w:szCs w:val="20"/>
        </w:rPr>
        <w:t xml:space="preserve">The College has used the delay imposed by the restrictions of the pandemic to identify potential facilitators and trainers to work with College communities in 2021/22. These are still being finalised, but will include awareness raising work with the JCR and MCR, at their request, and events </w:t>
      </w:r>
      <w:r w:rsidR="00AC3271">
        <w:rPr>
          <w:rFonts w:ascii="Arial" w:hAnsi="Arial" w:cs="Arial"/>
          <w:sz w:val="20"/>
          <w:szCs w:val="20"/>
        </w:rPr>
        <w:t xml:space="preserve">available to </w:t>
      </w:r>
      <w:r w:rsidRPr="00937CE0">
        <w:rPr>
          <w:rFonts w:ascii="Arial" w:hAnsi="Arial" w:cs="Arial"/>
          <w:sz w:val="20"/>
          <w:szCs w:val="20"/>
        </w:rPr>
        <w:t xml:space="preserve">all other parts of the College, including discussions about what it means to be a supportive bystander in the face of any form of potential discrimination. In addition, the Equalities Committee has committed to hold an open session each year, to </w:t>
      </w:r>
      <w:r w:rsidR="00AC3271">
        <w:rPr>
          <w:rFonts w:ascii="Arial" w:hAnsi="Arial" w:cs="Arial"/>
          <w:sz w:val="20"/>
          <w:szCs w:val="20"/>
        </w:rPr>
        <w:t>help review developments and continue to encourage debate and awareness</w:t>
      </w:r>
      <w:r w:rsidRPr="00937CE0">
        <w:rPr>
          <w:rFonts w:ascii="Arial" w:hAnsi="Arial" w:cs="Arial"/>
          <w:sz w:val="20"/>
          <w:szCs w:val="20"/>
        </w:rPr>
        <w:t xml:space="preserve"> across the College.</w:t>
      </w:r>
    </w:p>
    <w:p w14:paraId="338CB106" w14:textId="77777777" w:rsidR="00BE226E" w:rsidRDefault="004266C5" w:rsidP="00AC3271">
      <w:pPr>
        <w:rPr>
          <w:rFonts w:ascii="Arial" w:hAnsi="Arial" w:cs="Arial"/>
          <w:sz w:val="20"/>
          <w:szCs w:val="20"/>
        </w:rPr>
      </w:pPr>
      <w:r w:rsidRPr="00937CE0">
        <w:rPr>
          <w:rFonts w:ascii="Arial" w:hAnsi="Arial" w:cs="Arial"/>
          <w:sz w:val="20"/>
          <w:szCs w:val="20"/>
        </w:rPr>
        <w:t xml:space="preserve">In September 2020 </w:t>
      </w:r>
      <w:r w:rsidR="000A3FDD" w:rsidRPr="00937CE0">
        <w:rPr>
          <w:rFonts w:ascii="Arial" w:hAnsi="Arial" w:cs="Arial"/>
          <w:sz w:val="20"/>
          <w:szCs w:val="20"/>
        </w:rPr>
        <w:t xml:space="preserve">Queen’s was pleased to announce the creation of the </w:t>
      </w:r>
      <w:proofErr w:type="spellStart"/>
      <w:r w:rsidR="000A3FDD" w:rsidRPr="00937CE0">
        <w:rPr>
          <w:rFonts w:ascii="Arial" w:hAnsi="Arial" w:cs="Arial"/>
          <w:sz w:val="20"/>
          <w:szCs w:val="20"/>
        </w:rPr>
        <w:t>Brittenden</w:t>
      </w:r>
      <w:proofErr w:type="spellEnd"/>
      <w:r w:rsidR="000A3FDD" w:rsidRPr="00937CE0">
        <w:rPr>
          <w:rFonts w:ascii="Arial" w:hAnsi="Arial" w:cs="Arial"/>
          <w:sz w:val="20"/>
          <w:szCs w:val="20"/>
        </w:rPr>
        <w:t xml:space="preserve"> Fellowship in Black British History</w:t>
      </w:r>
      <w:r w:rsidR="00845872" w:rsidRPr="00937CE0">
        <w:rPr>
          <w:rFonts w:ascii="Arial" w:hAnsi="Arial" w:cs="Arial"/>
          <w:sz w:val="20"/>
          <w:szCs w:val="20"/>
        </w:rPr>
        <w:t xml:space="preserve"> and, in </w:t>
      </w:r>
      <w:r w:rsidRPr="00937CE0">
        <w:rPr>
          <w:rFonts w:ascii="Arial" w:hAnsi="Arial" w:cs="Arial"/>
          <w:sz w:val="20"/>
          <w:szCs w:val="20"/>
        </w:rPr>
        <w:t>March 2021,</w:t>
      </w:r>
      <w:r w:rsidR="00845872" w:rsidRPr="00937CE0">
        <w:rPr>
          <w:rFonts w:ascii="Arial" w:hAnsi="Arial" w:cs="Arial"/>
          <w:sz w:val="20"/>
          <w:szCs w:val="20"/>
        </w:rPr>
        <w:t xml:space="preserve"> the appointment of Dr Mele</w:t>
      </w:r>
      <w:r w:rsidR="00AC3271">
        <w:rPr>
          <w:rFonts w:ascii="Arial" w:hAnsi="Arial" w:cs="Arial"/>
          <w:sz w:val="20"/>
          <w:szCs w:val="20"/>
        </w:rPr>
        <w:t>i</w:t>
      </w:r>
      <w:r w:rsidR="00845872" w:rsidRPr="00937CE0">
        <w:rPr>
          <w:rFonts w:ascii="Arial" w:hAnsi="Arial" w:cs="Arial"/>
          <w:sz w:val="20"/>
          <w:szCs w:val="20"/>
        </w:rPr>
        <w:t xml:space="preserve">sa Ono-George to that Fellowship. </w:t>
      </w:r>
    </w:p>
    <w:p w14:paraId="6FC77F76" w14:textId="3EADFB41" w:rsidR="0076000F" w:rsidRDefault="00845872" w:rsidP="00AC3271">
      <w:pPr>
        <w:rPr>
          <w:rFonts w:ascii="Arial" w:hAnsi="Arial" w:cs="Arial"/>
          <w:sz w:val="20"/>
          <w:szCs w:val="20"/>
        </w:rPr>
      </w:pPr>
      <w:r w:rsidRPr="00937CE0">
        <w:rPr>
          <w:rFonts w:ascii="Arial" w:hAnsi="Arial" w:cs="Arial"/>
          <w:sz w:val="20"/>
          <w:szCs w:val="20"/>
        </w:rPr>
        <w:lastRenderedPageBreak/>
        <w:t>In 2021/2, it plans to run an exhibition or event exploring the – sometimes unexpected - ways in which those associated with the College engage with matters of race across their disciplines and career stages.</w:t>
      </w:r>
      <w:r w:rsidR="004266C5" w:rsidRPr="00937CE0">
        <w:rPr>
          <w:rFonts w:ascii="Arial" w:hAnsi="Arial" w:cs="Arial"/>
          <w:sz w:val="20"/>
          <w:szCs w:val="20"/>
        </w:rPr>
        <w:tab/>
      </w:r>
      <w:r w:rsidR="004266C5" w:rsidRPr="00937CE0">
        <w:rPr>
          <w:rFonts w:ascii="Arial" w:hAnsi="Arial" w:cs="Arial"/>
          <w:sz w:val="20"/>
          <w:szCs w:val="20"/>
        </w:rPr>
        <w:tab/>
      </w:r>
      <w:r w:rsidR="004266C5" w:rsidRPr="00937CE0">
        <w:rPr>
          <w:rFonts w:ascii="Arial" w:hAnsi="Arial" w:cs="Arial"/>
          <w:sz w:val="20"/>
          <w:szCs w:val="20"/>
        </w:rPr>
        <w:tab/>
      </w:r>
      <w:r w:rsidR="004266C5" w:rsidRPr="00937CE0">
        <w:rPr>
          <w:rFonts w:ascii="Arial" w:hAnsi="Arial" w:cs="Arial"/>
          <w:sz w:val="20"/>
          <w:szCs w:val="20"/>
        </w:rPr>
        <w:tab/>
      </w:r>
      <w:r w:rsidR="004266C5" w:rsidRPr="00937CE0">
        <w:rPr>
          <w:rFonts w:ascii="Arial" w:hAnsi="Arial" w:cs="Arial"/>
          <w:sz w:val="20"/>
          <w:szCs w:val="20"/>
        </w:rPr>
        <w:tab/>
      </w:r>
      <w:r w:rsidR="004266C5" w:rsidRPr="00937CE0">
        <w:rPr>
          <w:rFonts w:ascii="Arial" w:hAnsi="Arial" w:cs="Arial"/>
          <w:sz w:val="20"/>
          <w:szCs w:val="20"/>
        </w:rPr>
        <w:tab/>
      </w:r>
      <w:r w:rsidR="004266C5" w:rsidRPr="00937CE0">
        <w:rPr>
          <w:rFonts w:ascii="Arial" w:hAnsi="Arial" w:cs="Arial"/>
          <w:sz w:val="20"/>
          <w:szCs w:val="20"/>
        </w:rPr>
        <w:tab/>
      </w:r>
      <w:r w:rsidR="004266C5" w:rsidRPr="00937CE0">
        <w:rPr>
          <w:rFonts w:ascii="Arial" w:hAnsi="Arial" w:cs="Arial"/>
          <w:sz w:val="20"/>
          <w:szCs w:val="20"/>
        </w:rPr>
        <w:tab/>
      </w:r>
      <w:r w:rsidR="004266C5" w:rsidRPr="00937CE0">
        <w:rPr>
          <w:rFonts w:ascii="Arial" w:hAnsi="Arial" w:cs="Arial"/>
          <w:sz w:val="20"/>
          <w:szCs w:val="20"/>
        </w:rPr>
        <w:tab/>
      </w:r>
      <w:r w:rsidR="004266C5" w:rsidRPr="00937CE0">
        <w:rPr>
          <w:rFonts w:ascii="Arial" w:hAnsi="Arial" w:cs="Arial"/>
          <w:sz w:val="20"/>
          <w:szCs w:val="20"/>
        </w:rPr>
        <w:tab/>
      </w:r>
      <w:r w:rsidR="004266C5" w:rsidRPr="00937CE0">
        <w:rPr>
          <w:rFonts w:ascii="Arial" w:hAnsi="Arial" w:cs="Arial"/>
          <w:sz w:val="20"/>
          <w:szCs w:val="20"/>
        </w:rPr>
        <w:tab/>
      </w:r>
    </w:p>
    <w:p w14:paraId="20E67B7A" w14:textId="5066C4CA" w:rsidR="000A3FDD" w:rsidRPr="00937CE0" w:rsidRDefault="004266C5" w:rsidP="00AC3271">
      <w:pPr>
        <w:rPr>
          <w:rFonts w:ascii="Arial" w:hAnsi="Arial" w:cs="Arial"/>
          <w:sz w:val="20"/>
          <w:szCs w:val="20"/>
        </w:rPr>
      </w:pPr>
      <w:r w:rsidRPr="00937CE0">
        <w:rPr>
          <w:rFonts w:ascii="Arial" w:hAnsi="Arial" w:cs="Arial"/>
          <w:sz w:val="20"/>
          <w:szCs w:val="20"/>
        </w:rPr>
        <w:t>Ju</w:t>
      </w:r>
      <w:r w:rsidR="00CD121F">
        <w:rPr>
          <w:rFonts w:ascii="Arial" w:hAnsi="Arial" w:cs="Arial"/>
          <w:sz w:val="20"/>
          <w:szCs w:val="20"/>
        </w:rPr>
        <w:t>ly</w:t>
      </w:r>
      <w:r w:rsidRPr="00937CE0">
        <w:rPr>
          <w:rFonts w:ascii="Arial" w:hAnsi="Arial" w:cs="Arial"/>
          <w:sz w:val="20"/>
          <w:szCs w:val="20"/>
        </w:rPr>
        <w:t xml:space="preserve"> 2021</w:t>
      </w:r>
    </w:p>
    <w:sectPr w:rsidR="000A3FDD" w:rsidRPr="00937CE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8EF0A" w14:textId="77777777" w:rsidR="00277087" w:rsidRDefault="00277087" w:rsidP="00A708A3">
      <w:pPr>
        <w:spacing w:after="0" w:line="240" w:lineRule="auto"/>
      </w:pPr>
      <w:r>
        <w:separator/>
      </w:r>
    </w:p>
  </w:endnote>
  <w:endnote w:type="continuationSeparator" w:id="0">
    <w:p w14:paraId="7CE3B788" w14:textId="77777777" w:rsidR="00277087" w:rsidRDefault="00277087" w:rsidP="00A7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252947"/>
      <w:docPartObj>
        <w:docPartGallery w:val="Page Numbers (Bottom of Page)"/>
        <w:docPartUnique/>
      </w:docPartObj>
    </w:sdtPr>
    <w:sdtEndPr>
      <w:rPr>
        <w:noProof/>
      </w:rPr>
    </w:sdtEndPr>
    <w:sdtContent>
      <w:p w14:paraId="2A939C83" w14:textId="77777777" w:rsidR="00E140DD" w:rsidRDefault="00E140DD">
        <w:pPr>
          <w:pStyle w:val="Footer"/>
          <w:jc w:val="right"/>
        </w:pPr>
        <w:r>
          <w:fldChar w:fldCharType="begin"/>
        </w:r>
        <w:r>
          <w:instrText xml:space="preserve"> PAGE   \* MERGEFORMAT </w:instrText>
        </w:r>
        <w:r>
          <w:fldChar w:fldCharType="separate"/>
        </w:r>
        <w:r w:rsidR="00A2142D">
          <w:rPr>
            <w:noProof/>
          </w:rPr>
          <w:t>1</w:t>
        </w:r>
        <w:r>
          <w:rPr>
            <w:noProof/>
          </w:rPr>
          <w:fldChar w:fldCharType="end"/>
        </w:r>
      </w:p>
    </w:sdtContent>
  </w:sdt>
  <w:p w14:paraId="7BE80FD3" w14:textId="77777777" w:rsidR="00E140DD" w:rsidRDefault="00E14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75052" w14:textId="77777777" w:rsidR="00277087" w:rsidRDefault="00277087" w:rsidP="00A708A3">
      <w:pPr>
        <w:spacing w:after="0" w:line="240" w:lineRule="auto"/>
      </w:pPr>
      <w:r>
        <w:separator/>
      </w:r>
    </w:p>
  </w:footnote>
  <w:footnote w:type="continuationSeparator" w:id="0">
    <w:p w14:paraId="2FB487A5" w14:textId="77777777" w:rsidR="00277087" w:rsidRDefault="00277087" w:rsidP="00A708A3">
      <w:pPr>
        <w:spacing w:after="0" w:line="240" w:lineRule="auto"/>
      </w:pPr>
      <w:r>
        <w:continuationSeparator/>
      </w:r>
    </w:p>
  </w:footnote>
  <w:footnote w:id="1">
    <w:p w14:paraId="394A20C0" w14:textId="77777777" w:rsidR="004266C5" w:rsidRPr="004266C5" w:rsidRDefault="004266C5" w:rsidP="004266C5">
      <w:pPr>
        <w:pStyle w:val="NoSpacing"/>
        <w:rPr>
          <w:rFonts w:ascii="Times New Roman" w:hAnsi="Times New Roman" w:cs="Times New Roman"/>
          <w:sz w:val="16"/>
          <w:szCs w:val="16"/>
        </w:rPr>
      </w:pPr>
      <w:r w:rsidRPr="004266C5">
        <w:rPr>
          <w:rStyle w:val="FootnoteReference"/>
          <w:sz w:val="16"/>
          <w:szCs w:val="16"/>
        </w:rPr>
        <w:footnoteRef/>
      </w:r>
      <w:r w:rsidRPr="004266C5">
        <w:rPr>
          <w:sz w:val="16"/>
          <w:szCs w:val="16"/>
        </w:rPr>
        <w:t xml:space="preserve"> </w:t>
      </w:r>
      <w:r w:rsidRPr="004266C5">
        <w:rPr>
          <w:rFonts w:ascii="Arial" w:hAnsi="Arial" w:cs="Arial"/>
          <w:sz w:val="16"/>
          <w:szCs w:val="16"/>
        </w:rPr>
        <w:t>Eligible candidates will come from one of the following Commonwealth countries: Bangladesh, Cameroon, Eswatini, The Gambia, Ghana, India, Kenya, Kiribati, Lesotho, Malawi, Mozambique, Nigeria, Pakistan, Papua New Guinea, Rwanda, Sierra Leone, Solomon Islands, Sri Lanka, Tanzania, Tuvalu, Uganda, Vanuatu, Zambia</w:t>
      </w:r>
    </w:p>
    <w:p w14:paraId="6BD72A28" w14:textId="77777777" w:rsidR="004266C5" w:rsidRDefault="004266C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790"/>
    <w:multiLevelType w:val="multilevel"/>
    <w:tmpl w:val="72E4F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5288C"/>
    <w:multiLevelType w:val="hybridMultilevel"/>
    <w:tmpl w:val="6B7A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A254D"/>
    <w:multiLevelType w:val="hybridMultilevel"/>
    <w:tmpl w:val="C0703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C399B"/>
    <w:multiLevelType w:val="hybridMultilevel"/>
    <w:tmpl w:val="66AC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75EBA"/>
    <w:multiLevelType w:val="hybridMultilevel"/>
    <w:tmpl w:val="AB1CE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4F0BC8"/>
    <w:multiLevelType w:val="hybridMultilevel"/>
    <w:tmpl w:val="CE563E42"/>
    <w:lvl w:ilvl="0" w:tplc="88B87812">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C6049"/>
    <w:multiLevelType w:val="hybridMultilevel"/>
    <w:tmpl w:val="135CF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115165"/>
    <w:multiLevelType w:val="hybridMultilevel"/>
    <w:tmpl w:val="AC523B02"/>
    <w:lvl w:ilvl="0" w:tplc="711815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C60C5"/>
    <w:multiLevelType w:val="hybridMultilevel"/>
    <w:tmpl w:val="B6EC1922"/>
    <w:lvl w:ilvl="0" w:tplc="928C980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80324F"/>
    <w:multiLevelType w:val="hybridMultilevel"/>
    <w:tmpl w:val="9BA80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A2450F"/>
    <w:multiLevelType w:val="multilevel"/>
    <w:tmpl w:val="12606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56220B"/>
    <w:multiLevelType w:val="hybridMultilevel"/>
    <w:tmpl w:val="F78AF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9A00BD"/>
    <w:multiLevelType w:val="hybridMultilevel"/>
    <w:tmpl w:val="0BA07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66DD1"/>
    <w:multiLevelType w:val="hybridMultilevel"/>
    <w:tmpl w:val="8F22A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7E526D"/>
    <w:multiLevelType w:val="hybridMultilevel"/>
    <w:tmpl w:val="B70E4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F54989"/>
    <w:multiLevelType w:val="hybridMultilevel"/>
    <w:tmpl w:val="925E82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63D81"/>
    <w:multiLevelType w:val="hybridMultilevel"/>
    <w:tmpl w:val="81FE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6430A"/>
    <w:multiLevelType w:val="hybridMultilevel"/>
    <w:tmpl w:val="B56A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C36F3"/>
    <w:multiLevelType w:val="hybridMultilevel"/>
    <w:tmpl w:val="873A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33A1D"/>
    <w:multiLevelType w:val="hybridMultilevel"/>
    <w:tmpl w:val="6A968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242D12"/>
    <w:multiLevelType w:val="hybridMultilevel"/>
    <w:tmpl w:val="B10A4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8"/>
  </w:num>
  <w:num w:numId="4">
    <w:abstractNumId w:val="2"/>
  </w:num>
  <w:num w:numId="5">
    <w:abstractNumId w:val="11"/>
  </w:num>
  <w:num w:numId="6">
    <w:abstractNumId w:val="9"/>
  </w:num>
  <w:num w:numId="7">
    <w:abstractNumId w:val="6"/>
  </w:num>
  <w:num w:numId="8">
    <w:abstractNumId w:val="16"/>
  </w:num>
  <w:num w:numId="9">
    <w:abstractNumId w:val="15"/>
  </w:num>
  <w:num w:numId="10">
    <w:abstractNumId w:val="5"/>
  </w:num>
  <w:num w:numId="11">
    <w:abstractNumId w:val="17"/>
  </w:num>
  <w:num w:numId="12">
    <w:abstractNumId w:val="13"/>
  </w:num>
  <w:num w:numId="13">
    <w:abstractNumId w:val="20"/>
  </w:num>
  <w:num w:numId="14">
    <w:abstractNumId w:val="10"/>
  </w:num>
  <w:num w:numId="15">
    <w:abstractNumId w:val="0"/>
  </w:num>
  <w:num w:numId="16">
    <w:abstractNumId w:val="19"/>
  </w:num>
  <w:num w:numId="17">
    <w:abstractNumId w:val="4"/>
  </w:num>
  <w:num w:numId="18">
    <w:abstractNumId w:val="14"/>
  </w:num>
  <w:num w:numId="19">
    <w:abstractNumId w:val="18"/>
  </w:num>
  <w:num w:numId="20">
    <w:abstractNumId w:val="7"/>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63B"/>
    <w:rsid w:val="0000279C"/>
    <w:rsid w:val="00010344"/>
    <w:rsid w:val="00014602"/>
    <w:rsid w:val="00014CC2"/>
    <w:rsid w:val="00014F42"/>
    <w:rsid w:val="000152FE"/>
    <w:rsid w:val="00027046"/>
    <w:rsid w:val="00040443"/>
    <w:rsid w:val="0004459D"/>
    <w:rsid w:val="00051EE5"/>
    <w:rsid w:val="00065939"/>
    <w:rsid w:val="00074678"/>
    <w:rsid w:val="00082E0A"/>
    <w:rsid w:val="00084194"/>
    <w:rsid w:val="00085961"/>
    <w:rsid w:val="00095593"/>
    <w:rsid w:val="000A26A6"/>
    <w:rsid w:val="000A3FDD"/>
    <w:rsid w:val="000A49E2"/>
    <w:rsid w:val="000B1B36"/>
    <w:rsid w:val="000B7BBF"/>
    <w:rsid w:val="000C7CDD"/>
    <w:rsid w:val="000D3833"/>
    <w:rsid w:val="000D6422"/>
    <w:rsid w:val="000D7B79"/>
    <w:rsid w:val="0011587A"/>
    <w:rsid w:val="00135DDA"/>
    <w:rsid w:val="00137454"/>
    <w:rsid w:val="001407FD"/>
    <w:rsid w:val="00144DBB"/>
    <w:rsid w:val="00146E04"/>
    <w:rsid w:val="00162BDF"/>
    <w:rsid w:val="00163DB8"/>
    <w:rsid w:val="0016440C"/>
    <w:rsid w:val="00177F5C"/>
    <w:rsid w:val="0018662C"/>
    <w:rsid w:val="001C5910"/>
    <w:rsid w:val="001D5E18"/>
    <w:rsid w:val="001F62FD"/>
    <w:rsid w:val="0020221C"/>
    <w:rsid w:val="00206E02"/>
    <w:rsid w:val="00212BD1"/>
    <w:rsid w:val="002220D8"/>
    <w:rsid w:val="0022379B"/>
    <w:rsid w:val="00226564"/>
    <w:rsid w:val="0023727B"/>
    <w:rsid w:val="00241019"/>
    <w:rsid w:val="0025057D"/>
    <w:rsid w:val="00252195"/>
    <w:rsid w:val="00255D4D"/>
    <w:rsid w:val="00277087"/>
    <w:rsid w:val="002B4924"/>
    <w:rsid w:val="002B669C"/>
    <w:rsid w:val="002C0BBA"/>
    <w:rsid w:val="002C62AF"/>
    <w:rsid w:val="002D04DD"/>
    <w:rsid w:val="002D7F98"/>
    <w:rsid w:val="002E301E"/>
    <w:rsid w:val="002E5396"/>
    <w:rsid w:val="002E655A"/>
    <w:rsid w:val="00303037"/>
    <w:rsid w:val="0033004F"/>
    <w:rsid w:val="00335CD4"/>
    <w:rsid w:val="003402DA"/>
    <w:rsid w:val="00347419"/>
    <w:rsid w:val="00360463"/>
    <w:rsid w:val="00371938"/>
    <w:rsid w:val="00371D71"/>
    <w:rsid w:val="00374780"/>
    <w:rsid w:val="00384D55"/>
    <w:rsid w:val="00385183"/>
    <w:rsid w:val="003B5DFD"/>
    <w:rsid w:val="003C1EFF"/>
    <w:rsid w:val="003F18E4"/>
    <w:rsid w:val="003F34DF"/>
    <w:rsid w:val="003F6130"/>
    <w:rsid w:val="003F7E9C"/>
    <w:rsid w:val="004216AC"/>
    <w:rsid w:val="00424642"/>
    <w:rsid w:val="004266C5"/>
    <w:rsid w:val="00456C34"/>
    <w:rsid w:val="00472550"/>
    <w:rsid w:val="00474672"/>
    <w:rsid w:val="004802AA"/>
    <w:rsid w:val="0048098E"/>
    <w:rsid w:val="00481C47"/>
    <w:rsid w:val="0048431E"/>
    <w:rsid w:val="004875E3"/>
    <w:rsid w:val="0048763B"/>
    <w:rsid w:val="00496BBC"/>
    <w:rsid w:val="00497A88"/>
    <w:rsid w:val="004A52A9"/>
    <w:rsid w:val="004B5DCC"/>
    <w:rsid w:val="004B6B4B"/>
    <w:rsid w:val="004C49EB"/>
    <w:rsid w:val="004C76D7"/>
    <w:rsid w:val="00514CD3"/>
    <w:rsid w:val="00517667"/>
    <w:rsid w:val="00531059"/>
    <w:rsid w:val="005338BB"/>
    <w:rsid w:val="00536F1C"/>
    <w:rsid w:val="00551518"/>
    <w:rsid w:val="00552853"/>
    <w:rsid w:val="00566B45"/>
    <w:rsid w:val="00570CEA"/>
    <w:rsid w:val="005741A0"/>
    <w:rsid w:val="005A2953"/>
    <w:rsid w:val="005A4973"/>
    <w:rsid w:val="005B0A07"/>
    <w:rsid w:val="005B1599"/>
    <w:rsid w:val="005E1705"/>
    <w:rsid w:val="005E4E4E"/>
    <w:rsid w:val="005E6F2E"/>
    <w:rsid w:val="005F3602"/>
    <w:rsid w:val="00607607"/>
    <w:rsid w:val="00614E52"/>
    <w:rsid w:val="0061506D"/>
    <w:rsid w:val="00627A50"/>
    <w:rsid w:val="006320F9"/>
    <w:rsid w:val="00636320"/>
    <w:rsid w:val="006410EB"/>
    <w:rsid w:val="00642DD0"/>
    <w:rsid w:val="0068048B"/>
    <w:rsid w:val="00683724"/>
    <w:rsid w:val="006A739A"/>
    <w:rsid w:val="006B7545"/>
    <w:rsid w:val="006C54EE"/>
    <w:rsid w:val="006E48E9"/>
    <w:rsid w:val="006E55FE"/>
    <w:rsid w:val="006F53F2"/>
    <w:rsid w:val="00732774"/>
    <w:rsid w:val="00741DB4"/>
    <w:rsid w:val="0076000F"/>
    <w:rsid w:val="007732B3"/>
    <w:rsid w:val="0078220A"/>
    <w:rsid w:val="00785E8A"/>
    <w:rsid w:val="00790958"/>
    <w:rsid w:val="007A7913"/>
    <w:rsid w:val="007B3078"/>
    <w:rsid w:val="007C08C2"/>
    <w:rsid w:val="007D0970"/>
    <w:rsid w:val="007D2795"/>
    <w:rsid w:val="007E638A"/>
    <w:rsid w:val="008229FD"/>
    <w:rsid w:val="00823465"/>
    <w:rsid w:val="00825CB1"/>
    <w:rsid w:val="00845872"/>
    <w:rsid w:val="008561ED"/>
    <w:rsid w:val="00856B7D"/>
    <w:rsid w:val="00861F8D"/>
    <w:rsid w:val="008640E0"/>
    <w:rsid w:val="00880D11"/>
    <w:rsid w:val="00885AA3"/>
    <w:rsid w:val="00887672"/>
    <w:rsid w:val="008903A3"/>
    <w:rsid w:val="008934EC"/>
    <w:rsid w:val="008A52F8"/>
    <w:rsid w:val="008C6A54"/>
    <w:rsid w:val="008F76BA"/>
    <w:rsid w:val="009231D5"/>
    <w:rsid w:val="0092534C"/>
    <w:rsid w:val="009259A7"/>
    <w:rsid w:val="009273F7"/>
    <w:rsid w:val="00932CFB"/>
    <w:rsid w:val="00934726"/>
    <w:rsid w:val="00934F16"/>
    <w:rsid w:val="00937CE0"/>
    <w:rsid w:val="009441C5"/>
    <w:rsid w:val="0096092E"/>
    <w:rsid w:val="009628E4"/>
    <w:rsid w:val="009841A9"/>
    <w:rsid w:val="009844ED"/>
    <w:rsid w:val="00985BC7"/>
    <w:rsid w:val="00991AB4"/>
    <w:rsid w:val="00993C75"/>
    <w:rsid w:val="009A21F5"/>
    <w:rsid w:val="009A3BC4"/>
    <w:rsid w:val="009B2247"/>
    <w:rsid w:val="009D0735"/>
    <w:rsid w:val="009D1560"/>
    <w:rsid w:val="009D4AFF"/>
    <w:rsid w:val="009E0E47"/>
    <w:rsid w:val="009E1528"/>
    <w:rsid w:val="009F6A24"/>
    <w:rsid w:val="00A0204C"/>
    <w:rsid w:val="00A02BF6"/>
    <w:rsid w:val="00A2142D"/>
    <w:rsid w:val="00A25AC8"/>
    <w:rsid w:val="00A27CC6"/>
    <w:rsid w:val="00A32165"/>
    <w:rsid w:val="00A708A3"/>
    <w:rsid w:val="00AA0307"/>
    <w:rsid w:val="00AA5356"/>
    <w:rsid w:val="00AC3271"/>
    <w:rsid w:val="00AC6F5B"/>
    <w:rsid w:val="00AD48C7"/>
    <w:rsid w:val="00B0290B"/>
    <w:rsid w:val="00B20976"/>
    <w:rsid w:val="00B23AD7"/>
    <w:rsid w:val="00B42343"/>
    <w:rsid w:val="00B45A64"/>
    <w:rsid w:val="00B4681F"/>
    <w:rsid w:val="00B64D42"/>
    <w:rsid w:val="00B710C3"/>
    <w:rsid w:val="00B95FB0"/>
    <w:rsid w:val="00BA3F48"/>
    <w:rsid w:val="00BC47D0"/>
    <w:rsid w:val="00BC5662"/>
    <w:rsid w:val="00BD1130"/>
    <w:rsid w:val="00BD7A4A"/>
    <w:rsid w:val="00BE226E"/>
    <w:rsid w:val="00BF2538"/>
    <w:rsid w:val="00C26F52"/>
    <w:rsid w:val="00C34641"/>
    <w:rsid w:val="00C470D4"/>
    <w:rsid w:val="00C53C6C"/>
    <w:rsid w:val="00C66F6F"/>
    <w:rsid w:val="00C73708"/>
    <w:rsid w:val="00C756EA"/>
    <w:rsid w:val="00C82F83"/>
    <w:rsid w:val="00C903CC"/>
    <w:rsid w:val="00C91156"/>
    <w:rsid w:val="00CA070E"/>
    <w:rsid w:val="00CA333A"/>
    <w:rsid w:val="00CB033D"/>
    <w:rsid w:val="00CB1C95"/>
    <w:rsid w:val="00CC6B65"/>
    <w:rsid w:val="00CD121F"/>
    <w:rsid w:val="00CE09F2"/>
    <w:rsid w:val="00CF1F0A"/>
    <w:rsid w:val="00CF22E9"/>
    <w:rsid w:val="00CF5427"/>
    <w:rsid w:val="00D01241"/>
    <w:rsid w:val="00D07502"/>
    <w:rsid w:val="00D10AC3"/>
    <w:rsid w:val="00D14357"/>
    <w:rsid w:val="00D649BC"/>
    <w:rsid w:val="00D70349"/>
    <w:rsid w:val="00DA37BD"/>
    <w:rsid w:val="00DD3ED7"/>
    <w:rsid w:val="00DD4C31"/>
    <w:rsid w:val="00DD5F61"/>
    <w:rsid w:val="00DE518E"/>
    <w:rsid w:val="00DE5A84"/>
    <w:rsid w:val="00DF0C1D"/>
    <w:rsid w:val="00DF685A"/>
    <w:rsid w:val="00E06560"/>
    <w:rsid w:val="00E140DD"/>
    <w:rsid w:val="00E14B93"/>
    <w:rsid w:val="00E204D1"/>
    <w:rsid w:val="00E2598F"/>
    <w:rsid w:val="00E30234"/>
    <w:rsid w:val="00E32578"/>
    <w:rsid w:val="00E33B34"/>
    <w:rsid w:val="00E3471D"/>
    <w:rsid w:val="00E61455"/>
    <w:rsid w:val="00E6241D"/>
    <w:rsid w:val="00EB470A"/>
    <w:rsid w:val="00EB50CB"/>
    <w:rsid w:val="00EC2845"/>
    <w:rsid w:val="00ED297D"/>
    <w:rsid w:val="00F15BC5"/>
    <w:rsid w:val="00F32F47"/>
    <w:rsid w:val="00F4030E"/>
    <w:rsid w:val="00F41233"/>
    <w:rsid w:val="00F45199"/>
    <w:rsid w:val="00F458C8"/>
    <w:rsid w:val="00F5722D"/>
    <w:rsid w:val="00F67ED8"/>
    <w:rsid w:val="00F939C5"/>
    <w:rsid w:val="00FB0C87"/>
    <w:rsid w:val="00FC201E"/>
    <w:rsid w:val="00FC661C"/>
    <w:rsid w:val="00FC7CB9"/>
    <w:rsid w:val="00FD5B80"/>
    <w:rsid w:val="00FE1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D78E"/>
  <w15:chartTrackingRefBased/>
  <w15:docId w15:val="{1E985764-D191-4723-BD74-D3A24F44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939"/>
    <w:pPr>
      <w:outlineLvl w:val="0"/>
    </w:pPr>
    <w:rPr>
      <w:rFonts w:ascii="Arial" w:hAnsi="Arial" w:cs="Arial"/>
      <w:b/>
    </w:rPr>
  </w:style>
  <w:style w:type="paragraph" w:styleId="Heading2">
    <w:name w:val="heading 2"/>
    <w:basedOn w:val="Normal"/>
    <w:next w:val="Normal"/>
    <w:link w:val="Heading2Char"/>
    <w:uiPriority w:val="9"/>
    <w:unhideWhenUsed/>
    <w:qFormat/>
    <w:rsid w:val="00065939"/>
    <w:pPr>
      <w:jc w:val="both"/>
      <w:outlineLvl w:val="1"/>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AB4"/>
    <w:pPr>
      <w:spacing w:after="0" w:line="240" w:lineRule="auto"/>
      <w:ind w:left="720"/>
    </w:pPr>
  </w:style>
  <w:style w:type="paragraph" w:styleId="FootnoteText">
    <w:name w:val="footnote text"/>
    <w:basedOn w:val="Normal"/>
    <w:link w:val="FootnoteTextChar"/>
    <w:uiPriority w:val="99"/>
    <w:semiHidden/>
    <w:unhideWhenUsed/>
    <w:rsid w:val="00A708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8A3"/>
    <w:rPr>
      <w:sz w:val="20"/>
      <w:szCs w:val="20"/>
    </w:rPr>
  </w:style>
  <w:style w:type="character" w:styleId="FootnoteReference">
    <w:name w:val="footnote reference"/>
    <w:basedOn w:val="DefaultParagraphFont"/>
    <w:uiPriority w:val="99"/>
    <w:semiHidden/>
    <w:unhideWhenUsed/>
    <w:rsid w:val="00A708A3"/>
    <w:rPr>
      <w:vertAlign w:val="superscript"/>
    </w:rPr>
  </w:style>
  <w:style w:type="character" w:styleId="CommentReference">
    <w:name w:val="annotation reference"/>
    <w:basedOn w:val="DefaultParagraphFont"/>
    <w:uiPriority w:val="99"/>
    <w:semiHidden/>
    <w:unhideWhenUsed/>
    <w:rsid w:val="005E1705"/>
    <w:rPr>
      <w:sz w:val="16"/>
      <w:szCs w:val="16"/>
    </w:rPr>
  </w:style>
  <w:style w:type="paragraph" w:styleId="CommentText">
    <w:name w:val="annotation text"/>
    <w:basedOn w:val="Normal"/>
    <w:link w:val="CommentTextChar"/>
    <w:uiPriority w:val="99"/>
    <w:semiHidden/>
    <w:unhideWhenUsed/>
    <w:rsid w:val="005E1705"/>
    <w:pPr>
      <w:spacing w:line="240" w:lineRule="auto"/>
    </w:pPr>
    <w:rPr>
      <w:sz w:val="20"/>
      <w:szCs w:val="20"/>
    </w:rPr>
  </w:style>
  <w:style w:type="character" w:customStyle="1" w:styleId="CommentTextChar">
    <w:name w:val="Comment Text Char"/>
    <w:basedOn w:val="DefaultParagraphFont"/>
    <w:link w:val="CommentText"/>
    <w:uiPriority w:val="99"/>
    <w:semiHidden/>
    <w:rsid w:val="005E1705"/>
    <w:rPr>
      <w:sz w:val="20"/>
      <w:szCs w:val="20"/>
    </w:rPr>
  </w:style>
  <w:style w:type="paragraph" w:styleId="CommentSubject">
    <w:name w:val="annotation subject"/>
    <w:basedOn w:val="CommentText"/>
    <w:next w:val="CommentText"/>
    <w:link w:val="CommentSubjectChar"/>
    <w:uiPriority w:val="99"/>
    <w:semiHidden/>
    <w:unhideWhenUsed/>
    <w:rsid w:val="005E1705"/>
    <w:rPr>
      <w:b/>
      <w:bCs/>
    </w:rPr>
  </w:style>
  <w:style w:type="character" w:customStyle="1" w:styleId="CommentSubjectChar">
    <w:name w:val="Comment Subject Char"/>
    <w:basedOn w:val="CommentTextChar"/>
    <w:link w:val="CommentSubject"/>
    <w:uiPriority w:val="99"/>
    <w:semiHidden/>
    <w:rsid w:val="005E1705"/>
    <w:rPr>
      <w:b/>
      <w:bCs/>
      <w:sz w:val="20"/>
      <w:szCs w:val="20"/>
    </w:rPr>
  </w:style>
  <w:style w:type="paragraph" w:styleId="BalloonText">
    <w:name w:val="Balloon Text"/>
    <w:basedOn w:val="Normal"/>
    <w:link w:val="BalloonTextChar"/>
    <w:uiPriority w:val="99"/>
    <w:semiHidden/>
    <w:unhideWhenUsed/>
    <w:rsid w:val="005E1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705"/>
    <w:rPr>
      <w:rFonts w:ascii="Segoe UI" w:hAnsi="Segoe UI" w:cs="Segoe UI"/>
      <w:sz w:val="18"/>
      <w:szCs w:val="18"/>
    </w:rPr>
  </w:style>
  <w:style w:type="character" w:styleId="Hyperlink">
    <w:name w:val="Hyperlink"/>
    <w:basedOn w:val="DefaultParagraphFont"/>
    <w:uiPriority w:val="99"/>
    <w:unhideWhenUsed/>
    <w:rsid w:val="00887672"/>
    <w:rPr>
      <w:color w:val="0563C1" w:themeColor="hyperlink"/>
      <w:u w:val="single"/>
    </w:rPr>
  </w:style>
  <w:style w:type="paragraph" w:styleId="Header">
    <w:name w:val="header"/>
    <w:basedOn w:val="Normal"/>
    <w:link w:val="HeaderChar"/>
    <w:uiPriority w:val="99"/>
    <w:unhideWhenUsed/>
    <w:rsid w:val="00E14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0DD"/>
  </w:style>
  <w:style w:type="paragraph" w:styleId="Footer">
    <w:name w:val="footer"/>
    <w:basedOn w:val="Normal"/>
    <w:link w:val="FooterChar"/>
    <w:uiPriority w:val="99"/>
    <w:unhideWhenUsed/>
    <w:rsid w:val="00E14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0DD"/>
  </w:style>
  <w:style w:type="character" w:customStyle="1" w:styleId="Heading1Char">
    <w:name w:val="Heading 1 Char"/>
    <w:basedOn w:val="DefaultParagraphFont"/>
    <w:link w:val="Heading1"/>
    <w:uiPriority w:val="9"/>
    <w:rsid w:val="00065939"/>
    <w:rPr>
      <w:rFonts w:ascii="Arial" w:hAnsi="Arial" w:cs="Arial"/>
      <w:b/>
    </w:rPr>
  </w:style>
  <w:style w:type="character" w:customStyle="1" w:styleId="Heading2Char">
    <w:name w:val="Heading 2 Char"/>
    <w:basedOn w:val="DefaultParagraphFont"/>
    <w:link w:val="Heading2"/>
    <w:uiPriority w:val="9"/>
    <w:rsid w:val="00065939"/>
    <w:rPr>
      <w:rFonts w:ascii="Arial" w:hAnsi="Arial" w:cs="Arial"/>
      <w:b/>
      <w:sz w:val="20"/>
      <w:szCs w:val="20"/>
    </w:rPr>
  </w:style>
  <w:style w:type="paragraph" w:styleId="NormalWeb">
    <w:name w:val="Normal (Web)"/>
    <w:basedOn w:val="Normal"/>
    <w:uiPriority w:val="99"/>
    <w:semiHidden/>
    <w:unhideWhenUsed/>
    <w:rsid w:val="00371D71"/>
    <w:pPr>
      <w:spacing w:after="0" w:line="240" w:lineRule="auto"/>
    </w:pPr>
    <w:rPr>
      <w:rFonts w:ascii="Times New Roman" w:hAnsi="Times New Roman" w:cs="Times New Roman"/>
      <w:sz w:val="24"/>
      <w:szCs w:val="24"/>
      <w:lang w:eastAsia="en-GB"/>
    </w:rPr>
  </w:style>
  <w:style w:type="paragraph" w:styleId="NoSpacing">
    <w:name w:val="No Spacing"/>
    <w:basedOn w:val="Normal"/>
    <w:uiPriority w:val="1"/>
    <w:qFormat/>
    <w:rsid w:val="004266C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1823">
      <w:bodyDiv w:val="1"/>
      <w:marLeft w:val="0"/>
      <w:marRight w:val="0"/>
      <w:marTop w:val="0"/>
      <w:marBottom w:val="0"/>
      <w:divBdr>
        <w:top w:val="none" w:sz="0" w:space="0" w:color="auto"/>
        <w:left w:val="none" w:sz="0" w:space="0" w:color="auto"/>
        <w:bottom w:val="none" w:sz="0" w:space="0" w:color="auto"/>
        <w:right w:val="none" w:sz="0" w:space="0" w:color="auto"/>
      </w:divBdr>
    </w:div>
    <w:div w:id="243607825">
      <w:bodyDiv w:val="1"/>
      <w:marLeft w:val="0"/>
      <w:marRight w:val="0"/>
      <w:marTop w:val="0"/>
      <w:marBottom w:val="0"/>
      <w:divBdr>
        <w:top w:val="none" w:sz="0" w:space="0" w:color="auto"/>
        <w:left w:val="none" w:sz="0" w:space="0" w:color="auto"/>
        <w:bottom w:val="none" w:sz="0" w:space="0" w:color="auto"/>
        <w:right w:val="none" w:sz="0" w:space="0" w:color="auto"/>
      </w:divBdr>
    </w:div>
    <w:div w:id="365645246">
      <w:bodyDiv w:val="1"/>
      <w:marLeft w:val="0"/>
      <w:marRight w:val="0"/>
      <w:marTop w:val="0"/>
      <w:marBottom w:val="0"/>
      <w:divBdr>
        <w:top w:val="none" w:sz="0" w:space="0" w:color="auto"/>
        <w:left w:val="none" w:sz="0" w:space="0" w:color="auto"/>
        <w:bottom w:val="none" w:sz="0" w:space="0" w:color="auto"/>
        <w:right w:val="none" w:sz="0" w:space="0" w:color="auto"/>
      </w:divBdr>
    </w:div>
    <w:div w:id="497501185">
      <w:bodyDiv w:val="1"/>
      <w:marLeft w:val="0"/>
      <w:marRight w:val="0"/>
      <w:marTop w:val="0"/>
      <w:marBottom w:val="0"/>
      <w:divBdr>
        <w:top w:val="none" w:sz="0" w:space="0" w:color="auto"/>
        <w:left w:val="none" w:sz="0" w:space="0" w:color="auto"/>
        <w:bottom w:val="none" w:sz="0" w:space="0" w:color="auto"/>
        <w:right w:val="none" w:sz="0" w:space="0" w:color="auto"/>
      </w:divBdr>
    </w:div>
    <w:div w:id="629212063">
      <w:bodyDiv w:val="1"/>
      <w:marLeft w:val="0"/>
      <w:marRight w:val="0"/>
      <w:marTop w:val="0"/>
      <w:marBottom w:val="0"/>
      <w:divBdr>
        <w:top w:val="none" w:sz="0" w:space="0" w:color="auto"/>
        <w:left w:val="none" w:sz="0" w:space="0" w:color="auto"/>
        <w:bottom w:val="none" w:sz="0" w:space="0" w:color="auto"/>
        <w:right w:val="none" w:sz="0" w:space="0" w:color="auto"/>
      </w:divBdr>
    </w:div>
    <w:div w:id="869102931">
      <w:bodyDiv w:val="1"/>
      <w:marLeft w:val="0"/>
      <w:marRight w:val="0"/>
      <w:marTop w:val="0"/>
      <w:marBottom w:val="0"/>
      <w:divBdr>
        <w:top w:val="none" w:sz="0" w:space="0" w:color="auto"/>
        <w:left w:val="none" w:sz="0" w:space="0" w:color="auto"/>
        <w:bottom w:val="none" w:sz="0" w:space="0" w:color="auto"/>
        <w:right w:val="none" w:sz="0" w:space="0" w:color="auto"/>
      </w:divBdr>
    </w:div>
    <w:div w:id="986129599">
      <w:bodyDiv w:val="1"/>
      <w:marLeft w:val="0"/>
      <w:marRight w:val="0"/>
      <w:marTop w:val="0"/>
      <w:marBottom w:val="0"/>
      <w:divBdr>
        <w:top w:val="none" w:sz="0" w:space="0" w:color="auto"/>
        <w:left w:val="none" w:sz="0" w:space="0" w:color="auto"/>
        <w:bottom w:val="none" w:sz="0" w:space="0" w:color="auto"/>
        <w:right w:val="none" w:sz="0" w:space="0" w:color="auto"/>
      </w:divBdr>
    </w:div>
    <w:div w:id="1562788721">
      <w:bodyDiv w:val="1"/>
      <w:marLeft w:val="0"/>
      <w:marRight w:val="0"/>
      <w:marTop w:val="0"/>
      <w:marBottom w:val="0"/>
      <w:divBdr>
        <w:top w:val="none" w:sz="0" w:space="0" w:color="auto"/>
        <w:left w:val="none" w:sz="0" w:space="0" w:color="auto"/>
        <w:bottom w:val="none" w:sz="0" w:space="0" w:color="auto"/>
        <w:right w:val="none" w:sz="0" w:space="0" w:color="auto"/>
      </w:divBdr>
    </w:div>
    <w:div w:id="175158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756F-2699-4F59-B6AF-37E6A9D1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Queen's College</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Craig</dc:creator>
  <cp:keywords/>
  <dc:description/>
  <cp:lastModifiedBy>Emily Downing</cp:lastModifiedBy>
  <cp:revision>5</cp:revision>
  <cp:lastPrinted>2020-11-05T11:34:00Z</cp:lastPrinted>
  <dcterms:created xsi:type="dcterms:W3CDTF">2021-07-07T09:24:00Z</dcterms:created>
  <dcterms:modified xsi:type="dcterms:W3CDTF">2021-07-07T09:35:00Z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